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r>
    </w:p>
    <w:p>
      <w:pPr>
        <w:jc w:val="right"/>
      </w:pPr>
      <w:r>
        <w:rPr>
          <w:rFonts w:ascii="Times" w:hAnsi="Times" w:cs="Times"/>
          <w:sz w:val="24"/>
          <w:sz-cs w:val="24"/>
          <w:b/>
        </w:rPr>
        <w:t xml:space="preserve">02</w:t>
      </w:r>
      <w:r>
        <w:rPr>
          <w:rFonts w:ascii="Times" w:hAnsi="Times" w:cs="Times"/>
          <w:sz w:val="24"/>
          <w:sz-cs w:val="24"/>
          <w:b/>
          <w:vertAlign w:val="superscript"/>
        </w:rPr>
        <w:t xml:space="preserve">nd</w:t>
      </w:r>
      <w:r>
        <w:rPr>
          <w:rFonts w:ascii="Times" w:hAnsi="Times" w:cs="Times"/>
          <w:sz w:val="24"/>
          <w:sz-cs w:val="24"/>
          <w:b/>
        </w:rPr>
        <w:t xml:space="preserve"> July 2026</w:t>
      </w:r>
    </w:p>
    <w:p>
      <w:pPr>
        <w:spacing w:before="120" w:after="120"/>
      </w:pPr>
      <w:r>
        <w:rPr>
          <w:rFonts w:ascii="Times" w:hAnsi="Times" w:cs="Times"/>
          <w:sz w:val="24"/>
          <w:sz-cs w:val="24"/>
          <w:u w:val="single"/>
        </w:rPr>
        <w:t xml:space="preserve">REQUEST FOR EXPRESSIONS OF INTEREST</w:t>
      </w:r>
    </w:p>
    <w:p>
      <w:pPr>
        <w:jc w:val="center"/>
        <w:spacing w:before="120"/>
      </w:pPr>
      <w:r>
        <w:rPr>
          <w:rFonts w:ascii="Times" w:hAnsi="Times" w:cs="Times"/>
          <w:sz w:val="24"/>
          <w:sz-cs w:val="24"/>
          <w:b/>
        </w:rPr>
        <w:t xml:space="preserve">(Consulting Firms)</w:t>
      </w:r>
    </w:p>
    <w:p>
      <w:pPr>
        <w:ind w:left="144"/>
      </w:pPr>
      <w:r>
        <w:rPr>
          <w:rFonts w:ascii="Times" w:hAnsi="Times" w:cs="Times"/>
          <w:sz w:val="24"/>
          <w:sz-cs w:val="24"/>
          <w:b/>
        </w:rPr>
        <w:t xml:space="preserve"/>
      </w:r>
    </w:p>
    <w:p>
      <w:pPr>
        <w:ind w:left="144"/>
      </w:pPr>
      <w:r>
        <w:rPr>
          <w:rFonts w:ascii="Times" w:hAnsi="Times" w:cs="Times"/>
          <w:sz w:val="24"/>
          <w:sz-cs w:val="24"/>
          <w:b/>
          <w:spacing w:val="-2"/>
        </w:rPr>
        <w:t xml:space="preserve">Reference No</w:t>
      </w:r>
      <w:r>
        <w:rPr>
          <w:rFonts w:ascii="Times" w:hAnsi="Times" w:cs="Times"/>
          <w:sz w:val="24"/>
          <w:sz-cs w:val="24"/>
          <w:spacing w:val="-2"/>
        </w:rPr>
        <w:t xml:space="preserve">: </w:t>
      </w:r>
      <w:r>
        <w:rPr>
          <w:rFonts w:ascii="Times" w:hAnsi="Times" w:cs="Times"/>
          <w:sz w:val="24"/>
          <w:sz-cs w:val="24"/>
          <w:b/>
          <w:spacing w:val="-2"/>
          <w:color w:val="FF0000"/>
        </w:rPr>
        <w:t xml:space="preserve">GMB-2000001065-0214-CS</w:t>
      </w:r>
    </w:p>
    <w:p>
      <w:pPr>
        <w:ind w:left="144"/>
      </w:pPr>
      <w:r>
        <w:rPr>
          <w:rFonts w:ascii="Times" w:hAnsi="Times" w:cs="Times"/>
          <w:sz w:val="24"/>
          <w:sz-cs w:val="24"/>
          <w:b/>
          <w:spacing w:val="-2"/>
          <w:color w:val="FF0000"/>
        </w:rPr>
        <w:t xml:space="preserve"/>
      </w:r>
    </w:p>
    <w:p>
      <w:pPr>
        <w:ind w:left="144"/>
      </w:pPr>
      <w:r>
        <w:rPr>
          <w:rFonts w:ascii="Times" w:hAnsi="Times" w:cs="Times"/>
          <w:sz w:val="24"/>
          <w:sz-cs w:val="24"/>
          <w:b/>
        </w:rPr>
        <w:t xml:space="preserve">Assignment Title:</w:t>
      </w:r>
      <w:r>
        <w:rPr>
          <w:rFonts w:ascii="Times" w:hAnsi="Times" w:cs="Times"/>
          <w:sz w:val="24"/>
          <w:sz-cs w:val="24"/>
          <w:i/>
          <w:color w:val="000000"/>
        </w:rPr>
        <w:t xml:space="preserve"> </w:t>
      </w:r>
      <w:r>
        <w:rPr>
          <w:rFonts w:ascii="Times" w:hAnsi="Times" w:cs="Times"/>
          <w:sz w:val="24"/>
          <w:sz-cs w:val="24"/>
          <w:color w:val="000000"/>
        </w:rPr>
        <w:t xml:space="preserve">Accounting System</w:t>
      </w:r>
    </w:p>
    <w:p>
      <w:pPr>
        <w:ind w:left="720" w:first-line="-720"/>
      </w:pPr>
      <w:r>
        <w:rPr>
          <w:rFonts w:ascii="Times" w:hAnsi="Times" w:cs="Times"/>
          <w:sz w:val="24"/>
          <w:sz-cs w:val="24"/>
          <w:color w:val="000000"/>
        </w:rPr>
        <w:t xml:space="preserve"/>
        <w:tab/>
        <w:t xml:space="preserve">•</w:t>
        <w:tab/>
        <w:t xml:space="preserve"/>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2"/>
        </w:rPr>
        <w:t xml:space="preserve">The </w:t>
      </w:r>
      <w:r>
        <w:rPr>
          <w:rFonts w:ascii="Times" w:hAnsi="Times" w:cs="Times"/>
          <w:sz w:val="24"/>
          <w:sz-cs w:val="24"/>
          <w:spacing w:val="-2"/>
          <w:color w:val="FF0000"/>
        </w:rPr>
        <w:t xml:space="preserve">Government of the Gambia has received</w:t>
      </w:r>
      <w:r>
        <w:rPr>
          <w:rFonts w:ascii="Times" w:hAnsi="Times" w:cs="Times"/>
          <w:sz w:val="24"/>
          <w:sz-cs w:val="24"/>
          <w:i/>
          <w:spacing w:val="-2"/>
          <w:color w:val="FF0000"/>
        </w:rPr>
        <w:t xml:space="preserve"> </w:t>
      </w:r>
      <w:r>
        <w:rPr>
          <w:rFonts w:ascii="Times" w:hAnsi="Times" w:cs="Times"/>
          <w:sz w:val="24"/>
          <w:sz-cs w:val="24"/>
          <w:spacing w:val="-2"/>
        </w:rPr>
        <w:t xml:space="preserve">financing from the International Fund for Agricultural Development (IFAD) towards the cost of </w:t>
      </w:r>
      <w:r>
        <w:rPr>
          <w:rFonts w:ascii="Times" w:hAnsi="Times" w:cs="Times"/>
          <w:sz w:val="24"/>
          <w:sz-cs w:val="24"/>
          <w:spacing w:val="-2"/>
          <w:color w:val="FF0000"/>
        </w:rPr>
        <w:t xml:space="preserve">ROOTS Project (procuring entity) </w:t>
      </w:r>
      <w:r>
        <w:rPr>
          <w:rFonts w:ascii="Times" w:hAnsi="Times" w:cs="Times"/>
          <w:sz w:val="24"/>
          <w:sz-cs w:val="24"/>
          <w:spacing w:val="-2"/>
        </w:rPr>
        <w:t xml:space="preserve">and intends to apply part of the proceeds for the recruitment of consulting services for which this ROEI is issued.    </w:t>
      </w:r>
    </w:p>
    <w:p>
      <w:pPr>
        <w:jc w:val="both"/>
        <w:ind w:left="720" w:first-line="-720"/>
        <w:spacing w:before="240"/>
      </w:pPr>
      <w:r>
        <w:rPr>
          <w:rFonts w:ascii="Times" w:hAnsi="Times" w:cs="Times"/>
          <w:sz w:val="24"/>
          <w:sz-cs w:val="24"/>
        </w:rPr>
        <w:t xml:space="preserve"/>
        <w:tab/>
        <w:t xml:space="preserve">•</w:t>
        <w:tab/>
        <w:t xml:space="preserve"/>
      </w:r>
      <w:r>
        <w:rPr>
          <w:rFonts w:ascii="Times" w:hAnsi="Times" w:cs="Times"/>
          <w:sz w:val="24"/>
          <w:sz-cs w:val="24"/>
          <w:spacing w:val="-2"/>
        </w:rPr>
        <w:t xml:space="preserve">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the ROOTS Project.</w:t>
      </w:r>
    </w:p>
    <w:p>
      <w:pPr>
        <w:jc w:val="both"/>
        <w:ind w:left="864"/>
        <w:spacing w:before="240"/>
      </w:pPr>
      <w:r>
        <w:rPr>
          <w:rFonts w:ascii="Times" w:hAnsi="Times" w:cs="Times"/>
          <w:sz w:val="24"/>
          <w:sz-cs w:val="24"/>
          <w:spacing w:val="-2"/>
        </w:rPr>
        <w:t xml:space="preserve"/>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2"/>
        </w:rPr>
        <w:t xml:space="preserve">The consulting services (“the services”) include: </w:t>
      </w:r>
    </w:p>
    <w:p>
      <w:pPr>
        <w:ind w:left="720" w:first-line="-720"/>
        <w:spacing w:after="200"/>
      </w:pPr>
      <w:r>
        <w:rPr>
          <w:rFonts w:ascii="Times" w:hAnsi="Times" w:cs="Times"/>
          <w:sz w:val="24"/>
          <w:sz-cs w:val="24"/>
        </w:rPr>
        <w:t xml:space="preserve"/>
        <w:tab/>
        <w:t xml:space="preserve">•</w:t>
        <w:tab/>
        <w:t xml:space="preserve">Recruitment of Business Plan Developers</w:t>
      </w:r>
    </w:p>
    <w:p>
      <w:pPr>
        <w:ind w:left="720" w:first-line="-720"/>
        <w:spacing w:after="200"/>
      </w:pPr>
      <w:r>
        <w:rPr>
          <w:rFonts w:ascii="Times" w:hAnsi="Times" w:cs="Times"/>
          <w:sz w:val="24"/>
          <w:sz-cs w:val="24"/>
        </w:rPr>
        <w:t xml:space="preserve"/>
        <w:tab/>
        <w:t xml:space="preserve">•</w:t>
        <w:tab/>
        <w:t xml:space="preserve">Business Plan Review</w:t>
      </w:r>
    </w:p>
    <w:p>
      <w:pPr>
        <w:ind w:left="720" w:first-line="-720"/>
        <w:spacing w:after="200"/>
      </w:pPr>
      <w:r>
        <w:rPr>
          <w:rFonts w:ascii="Times" w:hAnsi="Times" w:cs="Times"/>
          <w:sz w:val="24"/>
          <w:sz-cs w:val="24"/>
        </w:rPr>
        <w:t xml:space="preserve"/>
        <w:tab/>
        <w:t xml:space="preserve">•</w:t>
        <w:tab/>
        <w:t xml:space="preserve">Support to the National Review Committee (NRC)</w:t>
      </w:r>
    </w:p>
    <w:p>
      <w:pPr>
        <w:ind w:left="720" w:first-line="-720"/>
        <w:spacing w:after="200"/>
      </w:pPr>
      <w:r>
        <w:rPr>
          <w:rFonts w:ascii="Times" w:hAnsi="Times" w:cs="Times"/>
          <w:sz w:val="24"/>
          <w:sz-cs w:val="24"/>
        </w:rPr>
        <w:t xml:space="preserve"/>
        <w:tab/>
        <w:t xml:space="preserve">•</w:t>
        <w:tab/>
        <w:t xml:space="preserve">Engagement with Financial Service Providers</w:t>
      </w:r>
    </w:p>
    <w:p>
      <w:pPr>
        <w:jc w:val="both"/>
        <w:ind w:left="720" w:first-line="-720"/>
        <w:spacing w:before="240"/>
      </w:pPr>
      <w:r>
        <w:rPr>
          <w:rFonts w:ascii="Times" w:hAnsi="Times" w:cs="Times"/>
          <w:sz w:val="24"/>
          <w:sz-cs w:val="24"/>
        </w:rPr>
        <w:t xml:space="preserve"/>
        <w:tab/>
        <w:t xml:space="preserve">•</w:t>
        <w:tab/>
        <w:t xml:space="preserve"/>
      </w:r>
      <w:r>
        <w:rPr>
          <w:rFonts w:ascii="Times" w:hAnsi="Times" w:cs="Times"/>
          <w:sz w:val="24"/>
          <w:sz-cs w:val="24"/>
          <w:spacing w:val="-2"/>
        </w:rPr>
        <w:t xml:space="preserve">The attention of interested consultants is drawn to IFAD’s Anti-Money Laundering and Countering the Financing of Terrorism Policy and the Revised IFAD Policy on Preventing Fraud and Corruption its Activities and Operations. The latter sets forth IFAD’s provisions on prohibited practices.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Pr>
          <w:rFonts w:ascii="Times" w:hAnsi="Times" w:cs="Times"/>
          <w:sz w:val="24"/>
          <w:sz-cs w:val="24"/>
          <w:color w:val="000000"/>
        </w:rPr>
        <w:t xml:space="preserve"/>
      </w:r>
    </w:p>
    <w:p>
      <w:pPr>
        <w:jc w:val="both"/>
        <w:ind w:left="720" w:first-line="-720"/>
        <w:spacing w:before="240"/>
      </w:pPr>
      <w:r>
        <w:rPr>
          <w:rFonts w:ascii="Times" w:hAnsi="Times" w:cs="Times"/>
          <w:sz w:val="24"/>
          <w:sz-cs w:val="24"/>
        </w:rPr>
        <w:t xml:space="preserve"/>
        <w:tab/>
        <w:t xml:space="preserve">•</w:t>
        <w:tab/>
        <w:t xml:space="preserve">The consultant shall not have any actual, potential or reasonably perceived conflict of interest. A consultant with an actual, potential or reasonably perceived conflict of interest shall be disqualified unless otherwise explicitly approved by the Fund. A consultant including their respective personnel and affiliates are considered to have a conflict of interest if they a) have a relationship that provides them with undue or undisclosed information about or influence over the selection process and the execution of the contract, b) participate in more than one EOI under this procurement action, c) have a business or family relationship with a member of the Purchaser’s board of directors or its personnel, the Fund or its personnel, or any other individual that was, has been or might reasonably be directly or indirectly involved in any part of (i) the preparation of this REOI, (ii) the shortlisting or selection process for this procurement, or (iii) execution of the contract. The consultant has an ongoing obligation to disclose any situation of actual, potential or reasonably perceived conflict of interest during preparation of the EOI, the selection process or the contract execution. Failure to properly disclose any of said situations may lead to appropriate actions, including the disqualification of the consultant, the termination of the contract and any other as appropriate under the IFAD Policy on Preventing Fraud and Corruption in its Projects and Operations.</w:t>
      </w:r>
    </w:p>
    <w:p>
      <w:pPr>
        <w:ind w:left="720" w:first-line="-720"/>
        <w:spacing w:before="240"/>
      </w:pPr>
      <w:r>
        <w:rPr>
          <w:rFonts w:ascii="Times" w:hAnsi="Times" w:cs="Times"/>
          <w:sz w:val="24"/>
          <w:sz-cs w:val="24"/>
        </w:rPr>
        <w:t xml:space="preserve"/>
        <w:tab/>
        <w:t xml:space="preserve">•</w:t>
        <w:tab/>
        <w:t xml:space="preserve"/>
      </w:r>
      <w:r>
        <w:rPr>
          <w:rFonts w:ascii="Times" w:hAnsi="Times" w:cs="Times"/>
          <w:sz w:val="24"/>
          <w:sz-cs w:val="24"/>
          <w:spacing w:val="-2"/>
        </w:rPr>
        <w:t xml:space="preserve">A consultant will be selected in accordance with the Consultants’ Qualification Selection (CQS) method set out in IFAD’ project procurement handbook that can be accessed via the IFAD website at www.ifad.org/project-procurement.</w:t>
      </w:r>
    </w:p>
    <w:p>
      <w:pPr>
        <w:spacing w:before="120"/>
      </w:pPr>
      <w:r>
        <w:rPr>
          <w:rFonts w:ascii="Times" w:hAnsi="Times" w:cs="Times"/>
          <w:sz w:val="24"/>
          <w:sz-cs w:val="24"/>
          <w:spacing w:val="-2"/>
        </w:rPr>
        <w:t xml:space="preserve"/>
      </w:r>
    </w:p>
    <w:p>
      <w:pPr>
        <w:jc w:val="center"/>
        <w:spacing w:before="120"/>
      </w:pPr>
      <w:r>
        <w:rPr>
          <w:rFonts w:ascii="Arial" w:hAnsi="Arial" w:cs="Arial"/>
          <w:sz w:val="32"/>
          <w:sz-cs w:val="32"/>
          <w:b/>
        </w:rPr>
        <w:t xml:space="preserve">ANNEX 2</w:t>
      </w:r>
    </w:p>
    <w:p>
      <w:pPr>
        <w:jc w:val="center"/>
        <w:spacing w:before="120"/>
      </w:pPr>
      <w:r>
        <w:rPr>
          <w:rFonts w:ascii="Arial" w:hAnsi="Arial" w:cs="Arial"/>
          <w:sz w:val="28"/>
          <w:sz-cs w:val="28"/>
          <w:b/>
          <w:u w:val="single"/>
        </w:rPr>
        <w:t xml:space="preserve">Qualification and Evaluation Criteria</w:t>
      </w:r>
    </w:p>
    <w:p>
      <w:pPr>
        <w:jc w:val="center"/>
      </w:pPr>
      <w:r>
        <w:rPr>
          <w:rFonts w:ascii="Arial" w:hAnsi="Arial" w:cs="Arial"/>
          <w:sz w:val="20"/>
          <w:sz-cs w:val="20"/>
          <w:b/>
        </w:rPr>
        <w:t xml:space="preserve">Item</w:t>
      </w:r>
    </w:p>
    <w:p>
      <w:pPr>
        <w:jc w:val="center"/>
      </w:pPr>
      <w:r>
        <w:rPr>
          <w:rFonts w:ascii="Arial" w:hAnsi="Arial" w:cs="Arial"/>
          <w:sz w:val="20"/>
          <w:sz-cs w:val="20"/>
          <w:b/>
        </w:rPr>
        <w:t xml:space="preserve">Criteria</w:t>
      </w:r>
    </w:p>
    <w:p>
      <w:pPr>
        <w:jc w:val="center"/>
      </w:pPr>
      <w:r>
        <w:rPr>
          <w:rFonts w:ascii="Arial" w:hAnsi="Arial" w:cs="Arial"/>
          <w:sz w:val="20"/>
          <w:sz-cs w:val="20"/>
          <w:b/>
        </w:rPr>
        <w:t xml:space="preserve">Points</w:t>
      </w:r>
    </w:p>
    <w:p>
      <w:pPr>
        <w:jc w:val="both"/>
        <w:spacing w:before="120"/>
      </w:pPr>
      <w:r>
        <w:rPr>
          <w:rFonts w:ascii="Arial" w:hAnsi="Arial" w:cs="Arial"/>
          <w:sz w:val="20"/>
          <w:sz-cs w:val="20"/>
        </w:rPr>
        <w:t xml:space="preserve">For specific experience, evidence shall include successful experience in the execution of </w:t>
      </w:r>
      <w:r>
        <w:rPr>
          <w:rFonts w:ascii="Arial" w:hAnsi="Arial" w:cs="Arial"/>
          <w:sz w:val="20"/>
          <w:sz-cs w:val="20"/>
          <w:b/>
        </w:rPr>
        <w:t xml:space="preserve">at least 2 projects</w:t>
      </w:r>
      <w:r>
        <w:rPr>
          <w:rFonts w:ascii="Arial" w:hAnsi="Arial" w:cs="Arial"/>
          <w:sz w:val="20"/>
          <w:sz-cs w:val="20"/>
        </w:rPr>
        <w:t xml:space="preserve"> of a similar nature and scope of works during the </w:t>
      </w:r>
      <w:r>
        <w:rPr>
          <w:rFonts w:ascii="Arial" w:hAnsi="Arial" w:cs="Arial"/>
          <w:sz w:val="20"/>
          <w:sz-cs w:val="20"/>
          <w:b/>
        </w:rPr>
        <w:t xml:space="preserve">last 10 years</w:t>
      </w:r>
      <w:r>
        <w:rPr>
          <w:rFonts w:ascii="Arial" w:hAnsi="Arial" w:cs="Arial"/>
          <w:sz w:val="20"/>
          <w:sz-cs w:val="20"/>
        </w:rPr>
        <w:t xml:space="preserve">.</w:t>
      </w:r>
    </w:p>
    <w:p>
      <w:pPr>
        <w:spacing w:before="120"/>
      </w:pPr>
      <w:r>
        <w:rPr>
          <w:rFonts w:ascii="Arial" w:hAnsi="Arial" w:cs="Arial"/>
          <w:sz w:val="22"/>
          <w:sz-cs w:val="22"/>
          <w:b/>
        </w:rPr>
        <w:t xml:space="preserve">A.</w:t>
      </w:r>
    </w:p>
    <w:p>
      <w:pPr>
        <w:spacing w:before="120"/>
      </w:pPr>
      <w:r>
        <w:rPr>
          <w:rFonts w:ascii="Arial" w:hAnsi="Arial" w:cs="Arial"/>
          <w:sz w:val="22"/>
          <w:sz-cs w:val="22"/>
          <w:b/>
        </w:rPr>
        <w:t xml:space="preserve">General experience</w:t>
      </w:r>
    </w:p>
    <w:p>
      <w:pPr>
        <w:jc w:val="center"/>
        <w:ind w:left="126"/>
        <w:spacing w:before="120"/>
      </w:pPr>
      <w:r>
        <w:rPr>
          <w:rFonts w:ascii="Arial" w:hAnsi="Arial" w:cs="Arial"/>
          <w:sz w:val="22"/>
          <w:sz-cs w:val="22"/>
          <w:b/>
        </w:rPr>
        <w:t xml:space="preserve">20</w:t>
      </w:r>
    </w:p>
    <w:p>
      <w:pPr>
        <w:ind w:left="720" w:first-line="-720"/>
        <w:spacing w:before="120"/>
      </w:pPr>
      <w:r>
        <w:rPr>
          <w:rFonts w:ascii="Arial" w:hAnsi="Arial" w:cs="Arial"/>
          <w:sz w:val="22"/>
          <w:sz-cs w:val="22"/>
          <w:b/>
        </w:rPr>
        <w:t xml:space="preserve"/>
        <w:tab/>
        <w:t xml:space="preserve">•</w:t>
        <w:tab/>
        <w:t xml:space="preserve"/>
      </w:r>
    </w:p>
    <w:p>
      <w:pPr>
        <w:jc w:val="both"/>
        <w:ind w:left="72"/>
      </w:pPr>
      <w:r>
        <w:rPr>
          <w:rFonts w:ascii="Arial" w:hAnsi="Arial" w:cs="Arial"/>
          <w:sz w:val="22"/>
          <w:sz-cs w:val="22"/>
        </w:rPr>
        <w:t xml:space="preserve">General experience: </w:t>
      </w:r>
    </w:p>
    <w:p>
      <w:pPr>
        <w:ind w:left="720" w:first-line="-720"/>
      </w:pPr>
      <w:r>
        <w:rPr>
          <w:rFonts w:ascii="Arial" w:hAnsi="Arial" w:cs="Arial"/>
          <w:sz w:val="22"/>
          <w:sz-cs w:val="22"/>
        </w:rPr>
        <w:t xml:space="preserve"/>
        <w:tab/>
        <w:t xml:space="preserve">•</w:t>
        <w:tab/>
        <w:t xml:space="preserve">At least 7 years of experience in software development, particularly in financial systems and IT Consultancy</w:t>
      </w:r>
    </w:p>
    <w:p>
      <w:pPr/>
      <w:r>
        <w:rPr>
          <w:rFonts w:ascii="Arial" w:hAnsi="Arial" w:cs="Arial"/>
          <w:sz w:val="22"/>
          <w:sz-cs w:val="22"/>
        </w:rPr>
        <w:t xml:space="preserve">Experience in training and capacity building for financial management systems.</w:t>
      </w:r>
    </w:p>
    <w:p>
      <w:pPr>
        <w:jc w:val="center"/>
        <w:ind w:left="126"/>
        <w:spacing w:before="120"/>
      </w:pPr>
      <w:r>
        <w:rPr>
          <w:rFonts w:ascii="Arial" w:hAnsi="Arial" w:cs="Arial"/>
          <w:sz w:val="22"/>
          <w:sz-cs w:val="22"/>
        </w:rPr>
        <w:t xml:space="preserve">20</w:t>
      </w:r>
    </w:p>
    <w:p>
      <w:pPr>
        <w:ind w:left="360"/>
        <w:spacing w:before="120"/>
      </w:pPr>
      <w:r>
        <w:rPr>
          <w:rFonts w:ascii="Arial" w:hAnsi="Arial" w:cs="Arial"/>
          <w:sz w:val="22"/>
          <w:sz-cs w:val="22"/>
          <w:b/>
        </w:rPr>
        <w:t xml:space="preserve">B.</w:t>
      </w:r>
    </w:p>
    <w:p>
      <w:pPr>
        <w:spacing w:before="120"/>
      </w:pPr>
      <w:r>
        <w:rPr>
          <w:rFonts w:ascii="Arial" w:hAnsi="Arial" w:cs="Arial"/>
          <w:sz w:val="22"/>
          <w:sz-cs w:val="22"/>
          <w:b/>
        </w:rPr>
        <w:t xml:space="preserve">Specific experience</w:t>
      </w:r>
    </w:p>
    <w:p>
      <w:pPr>
        <w:jc w:val="center"/>
        <w:ind w:left="126"/>
        <w:spacing w:before="120"/>
      </w:pPr>
      <w:r>
        <w:rPr>
          <w:rFonts w:ascii="Arial" w:hAnsi="Arial" w:cs="Arial"/>
          <w:sz w:val="22"/>
          <w:sz-cs w:val="22"/>
          <w:b/>
        </w:rPr>
        <w:t xml:space="preserve">80</w:t>
      </w:r>
    </w:p>
    <w:p>
      <w:pPr>
        <w:jc w:val="center"/>
        <w:ind w:left="720" w:first-line="-720"/>
        <w:spacing w:before="120"/>
      </w:pPr>
      <w:r>
        <w:rPr>
          <w:rFonts w:ascii="Arial" w:hAnsi="Arial" w:cs="Arial"/>
          <w:sz w:val="22"/>
          <w:sz-cs w:val="22"/>
          <w:b/>
        </w:rPr>
        <w:t xml:space="preserve"/>
        <w:tab/>
        <w:t xml:space="preserve">•</w:t>
        <w:tab/>
        <w:t xml:space="preserve"/>
      </w:r>
    </w:p>
    <w:p>
      <w:pPr>
        <w:jc w:val="both"/>
        <w:spacing w:before="120" w:after="200"/>
      </w:pPr>
      <w:r>
        <w:rPr>
          <w:rFonts w:ascii="Arial" w:hAnsi="Arial" w:cs="Arial"/>
          <w:sz w:val="22"/>
          <w:sz-cs w:val="22"/>
        </w:rPr>
        <w:t xml:space="preserve">Previous experience in </w:t>
      </w:r>
      <w:r>
        <w:rPr>
          <w:rFonts w:ascii="Arial" w:hAnsi="Arial" w:cs="Arial"/>
          <w:sz w:val="22"/>
          <w:sz-cs w:val="22"/>
          <w:b/>
        </w:rPr>
        <w:t xml:space="preserve">Accounting &amp; Finance Software Development</w:t>
      </w:r>
      <w:r>
        <w:rPr>
          <w:rFonts w:ascii="Arial" w:hAnsi="Arial" w:cs="Arial"/>
          <w:sz w:val="22"/>
          <w:sz-cs w:val="22"/>
        </w:rPr>
        <w:t xml:space="preserve">: Prior delivery of customized accounting/ERP solutions for cooperatives, agribusinesses, or associations.</w:t>
      </w:r>
    </w:p>
    <w:p>
      <w:pPr>
        <w:jc w:val="center"/>
        <w:ind w:left="126"/>
        <w:spacing w:before="120"/>
      </w:pPr>
      <w:r>
        <w:rPr>
          <w:rFonts w:ascii="Arial" w:hAnsi="Arial" w:cs="Arial"/>
          <w:sz w:val="22"/>
          <w:sz-cs w:val="22"/>
        </w:rPr>
        <w:t xml:space="preserve">30</w:t>
      </w:r>
    </w:p>
    <w:p>
      <w:pPr>
        <w:ind w:left="720" w:first-line="-720"/>
        <w:spacing w:before="120"/>
      </w:pPr>
      <w:r>
        <w:rPr>
          <w:rFonts w:ascii="Arial" w:hAnsi="Arial" w:cs="Arial"/>
          <w:sz w:val="22"/>
          <w:sz-cs w:val="22"/>
        </w:rPr>
        <w:t xml:space="preserve"/>
        <w:tab/>
        <w:t xml:space="preserve">•</w:t>
        <w:tab/>
        <w:t xml:space="preserve"/>
      </w:r>
    </w:p>
    <w:p>
      <w:pPr>
        <w:jc w:val="both"/>
        <w:spacing w:before="120" w:after="200"/>
      </w:pPr>
      <w:r>
        <w:rPr>
          <w:rFonts w:ascii="Arial" w:hAnsi="Arial" w:cs="Arial"/>
          <w:sz w:val="22"/>
          <w:sz-cs w:val="22"/>
        </w:rPr>
        <w:t xml:space="preserve">Experience in working with farmer organizations and cooperatives</w:t>
      </w:r>
    </w:p>
    <w:p>
      <w:pPr>
        <w:jc w:val="center"/>
        <w:ind w:left="126"/>
        <w:spacing w:before="120"/>
      </w:pPr>
      <w:r>
        <w:rPr>
          <w:rFonts w:ascii="Arial" w:hAnsi="Arial" w:cs="Arial"/>
          <w:sz w:val="22"/>
          <w:sz-cs w:val="22"/>
        </w:rPr>
        <w:t xml:space="preserve">25</w:t>
      </w:r>
    </w:p>
    <w:p>
      <w:pPr>
        <w:jc w:val="center"/>
        <w:ind w:left="720" w:first-line="-720"/>
        <w:spacing w:before="120"/>
      </w:pPr>
      <w:r>
        <w:rPr>
          <w:rFonts w:ascii="Arial" w:hAnsi="Arial" w:cs="Arial"/>
          <w:sz w:val="22"/>
          <w:sz-cs w:val="22"/>
        </w:rPr>
        <w:t xml:space="preserve"/>
        <w:tab/>
        <w:t xml:space="preserve">•</w:t>
        <w:tab/>
        <w:t xml:space="preserve"/>
      </w:r>
    </w:p>
    <w:p>
      <w:pPr>
        <w:jc w:val="both"/>
        <w:spacing w:before="120" w:after="200"/>
      </w:pPr>
      <w:r>
        <w:rPr>
          <w:rFonts w:ascii="Arial" w:hAnsi="Arial" w:cs="Arial"/>
          <w:sz w:val="22"/>
          <w:sz-cs w:val="22"/>
        </w:rPr>
        <w:t xml:space="preserve">Experience in agricultural or cooperative sectors within The Gambia or similar contexts.</w:t>
      </w:r>
    </w:p>
    <w:p>
      <w:pPr>
        <w:jc w:val="center"/>
        <w:ind w:left="126"/>
        <w:spacing w:before="120"/>
      </w:pPr>
      <w:r>
        <w:rPr>
          <w:rFonts w:ascii="Arial" w:hAnsi="Arial" w:cs="Arial"/>
          <w:sz w:val="22"/>
          <w:sz-cs w:val="22"/>
        </w:rPr>
        <w:t xml:space="preserve">15</w:t>
      </w:r>
    </w:p>
    <w:p>
      <w:pPr>
        <w:ind w:left="720" w:first-line="-720"/>
        <w:spacing w:before="120"/>
      </w:pPr>
      <w:r>
        <w:rPr>
          <w:rFonts w:ascii="Arial" w:hAnsi="Arial" w:cs="Arial"/>
          <w:sz w:val="22"/>
          <w:sz-cs w:val="22"/>
        </w:rPr>
        <w:t xml:space="preserve"/>
        <w:tab/>
        <w:t xml:space="preserve">•</w:t>
        <w:tab/>
        <w:t xml:space="preserve"/>
      </w:r>
    </w:p>
    <w:p>
      <w:pPr>
        <w:spacing w:before="120"/>
      </w:pPr>
      <w:r>
        <w:rPr>
          <w:rFonts w:ascii="Arial" w:hAnsi="Arial" w:cs="Arial"/>
          <w:sz w:val="22"/>
          <w:sz-cs w:val="22"/>
        </w:rPr>
        <w:t xml:space="preserve">Successful transition from manual systems and capacity building for end-users.</w:t>
      </w:r>
    </w:p>
    <w:p>
      <w:pPr>
        <w:jc w:val="center"/>
        <w:ind w:left="126"/>
        <w:spacing w:before="120"/>
      </w:pPr>
      <w:r>
        <w:rPr>
          <w:rFonts w:ascii="Arial" w:hAnsi="Arial" w:cs="Arial"/>
          <w:sz w:val="22"/>
          <w:sz-cs w:val="22"/>
        </w:rPr>
        <w:t xml:space="preserve">10</w:t>
      </w:r>
    </w:p>
    <w:p>
      <w:pPr>
        <w:spacing w:before="120"/>
      </w:pPr>
      <w:r>
        <w:rPr>
          <w:rFonts w:ascii="Arial" w:hAnsi="Arial" w:cs="Arial"/>
          <w:sz w:val="22"/>
          <w:sz-cs w:val="22"/>
        </w:rPr>
        <w:t xml:space="preserve"/>
      </w:r>
    </w:p>
    <w:p>
      <w:pPr>
        <w:jc w:val="right"/>
        <w:ind w:left="360"/>
        <w:spacing w:before="120"/>
      </w:pPr>
      <w:r>
        <w:rPr>
          <w:rFonts w:ascii="Arial" w:hAnsi="Arial" w:cs="Arial"/>
          <w:sz w:val="22"/>
          <w:sz-cs w:val="22"/>
          <w:b/>
        </w:rPr>
        <w:t xml:space="preserve">Total Points</w:t>
      </w:r>
    </w:p>
    <w:p>
      <w:pPr>
        <w:jc w:val="center"/>
        <w:ind w:left="360"/>
        <w:spacing w:before="120"/>
      </w:pPr>
      <w:r>
        <w:rPr>
          <w:rFonts w:ascii="Arial" w:hAnsi="Arial" w:cs="Arial"/>
          <w:sz w:val="22"/>
          <w:sz-cs w:val="22"/>
          <w:b/>
        </w:rPr>
        <w:t xml:space="preserve">100</w:t>
      </w:r>
    </w:p>
    <w:p>
      <w:pPr/>
      <w:r>
        <w:rPr>
          <w:rFonts w:ascii="Arial" w:hAnsi="Arial" w:cs="Arial"/>
          <w:sz w:val="24"/>
          <w:sz-cs w:val="24"/>
        </w:rPr>
        <w:t xml:space="preserve"/>
        <w:tab/>
        <w:t xml:space="preserve"/>
      </w:r>
    </w:p>
    <w:p>
      <w:pPr>
        <w:ind w:left="720" w:first-line="-720"/>
        <w:spacing w:before="240"/>
      </w:pPr>
      <w:r>
        <w:rPr>
          <w:rFonts w:ascii="Times" w:hAnsi="Times" w:cs="Times"/>
          <w:sz w:val="24"/>
          <w:sz-cs w:val="24"/>
        </w:rPr>
        <w:t xml:space="preserve"/>
        <w:tab/>
        <w:t xml:space="preserve">•</w:t>
        <w:tab/>
        <w:t xml:space="preserve"/>
      </w:r>
      <w:r>
        <w:rPr>
          <w:rFonts w:ascii="Times" w:hAnsi="Times" w:cs="Times"/>
          <w:sz w:val="24"/>
          <w:sz-cs w:val="24"/>
          <w:spacing w:val="-2"/>
        </w:rPr>
        <w:t xml:space="preserve">Consultants may associate with other firms in the form of a joint venture or a sub-consultancy to enhance their qualifications.</w:t>
      </w:r>
    </w:p>
    <w:p>
      <w:pPr>
        <w:ind w:left="864"/>
        <w:spacing w:before="240"/>
      </w:pPr>
      <w:r>
        <w:rPr>
          <w:rFonts w:ascii="Times" w:hAnsi="Times" w:cs="Times"/>
          <w:sz w:val="24"/>
          <w:sz-cs w:val="24"/>
          <w:spacing w:val="-2"/>
        </w:rPr>
        <w:t xml:space="preserve"/>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2"/>
        </w:rPr>
        <w:t xml:space="preserve">Any request for clarification on this REOI should be sent via e-mail to the address below no later than 08</w:t>
      </w:r>
      <w:r>
        <w:rPr>
          <w:rFonts w:ascii="Times" w:hAnsi="Times" w:cs="Times"/>
          <w:sz w:val="24"/>
          <w:sz-cs w:val="24"/>
          <w:vertAlign w:val="superscript"/>
          <w:spacing w:val="-2"/>
        </w:rPr>
        <w:t xml:space="preserve">th</w:t>
      </w:r>
      <w:r>
        <w:rPr>
          <w:rFonts w:ascii="Times" w:hAnsi="Times" w:cs="Times"/>
          <w:sz w:val="24"/>
          <w:sz-cs w:val="24"/>
          <w:spacing w:val="-2"/>
        </w:rPr>
        <w:t xml:space="preserve"> July 2026. The client will provide responses to all clarification requests by 10</w:t>
      </w:r>
      <w:r>
        <w:rPr>
          <w:rFonts w:ascii="Times" w:hAnsi="Times" w:cs="Times"/>
          <w:sz w:val="24"/>
          <w:sz-cs w:val="24"/>
          <w:vertAlign w:val="superscript"/>
          <w:spacing w:val="-2"/>
        </w:rPr>
        <w:t xml:space="preserve">th</w:t>
      </w:r>
      <w:r>
        <w:rPr>
          <w:rFonts w:ascii="Times" w:hAnsi="Times" w:cs="Times"/>
          <w:sz w:val="24"/>
          <w:sz-cs w:val="24"/>
          <w:spacing w:val="-2"/>
        </w:rPr>
        <w:t xml:space="preserve"> July 2026 at 16:00.</w:t>
      </w:r>
    </w:p>
    <w:p>
      <w:pPr/>
      <w:r>
        <w:rPr>
          <w:rFonts w:ascii="Times" w:hAnsi="Times" w:cs="Times"/>
          <w:sz w:val="24"/>
          <w:sz-cs w:val="24"/>
          <w:spacing w:val="-2"/>
        </w:rPr>
        <w:t xml:space="preserve"/>
      </w:r>
    </w:p>
    <w:p>
      <w:pPr>
        <w:ind w:left="720" w:first-line="-720"/>
      </w:pPr>
      <w:r>
        <w:rPr>
          <w:rFonts w:ascii="Times" w:hAnsi="Times" w:cs="Times"/>
          <w:sz w:val="24"/>
          <w:sz-cs w:val="24"/>
        </w:rPr>
        <w:t xml:space="preserve"/>
        <w:tab/>
        <w:t xml:space="preserve">•</w:t>
        <w:tab/>
        <w:t xml:space="preserve">Expressions of interest form can be found at </w:t>
      </w:r>
      <w:r>
        <w:rPr>
          <w:rFonts w:ascii="Times" w:hAnsi="Times" w:cs="Times"/>
          <w:sz w:val="24"/>
          <w:sz-cs w:val="24"/>
          <w:b/>
          <w:i/>
          <w:spacing w:val="-2"/>
        </w:rPr>
        <w:t xml:space="preserve">www.rootsproject.gm/procurement </w:t>
      </w:r>
      <w:r>
        <w:rPr>
          <w:rFonts w:ascii="Times" w:hAnsi="Times" w:cs="Times"/>
          <w:sz w:val="24"/>
          <w:sz-cs w:val="24"/>
        </w:rPr>
        <w:t xml:space="preserve"> </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
      </w:r>
      <w:r>
        <w:rPr>
          <w:rFonts w:ascii="Times" w:hAnsi="Times" w:cs="Times"/>
          <w:sz w:val="24"/>
          <w:sz-cs w:val="24"/>
          <w:spacing w:val="-2"/>
        </w:rPr>
        <w:t xml:space="preserve">Expressions of interest must be sent in pdf via email using the forms provided (IFAD standard format) which is available upon request. EOIs shall be submitted to the address below no later than </w:t>
      </w:r>
      <w:r>
        <w:rPr>
          <w:rFonts w:ascii="Times" w:hAnsi="Times" w:cs="Times"/>
          <w:sz w:val="24"/>
          <w:sz-cs w:val="24"/>
          <w:b/>
          <w:spacing w:val="-2"/>
        </w:rPr>
        <w:t xml:space="preserve">15</w:t>
      </w:r>
      <w:r>
        <w:rPr>
          <w:rFonts w:ascii="Times" w:hAnsi="Times" w:cs="Times"/>
          <w:sz w:val="24"/>
          <w:sz-cs w:val="24"/>
          <w:b/>
          <w:vertAlign w:val="superscript"/>
          <w:spacing w:val="-2"/>
        </w:rPr>
        <w:t xml:space="preserve">th</w:t>
      </w:r>
      <w:r>
        <w:rPr>
          <w:rFonts w:ascii="Times" w:hAnsi="Times" w:cs="Times"/>
          <w:sz w:val="24"/>
          <w:sz-cs w:val="24"/>
          <w:b/>
          <w:spacing w:val="-2"/>
        </w:rPr>
        <w:t xml:space="preserve"> July 2026</w:t>
      </w:r>
      <w:r>
        <w:rPr>
          <w:rFonts w:ascii="Times" w:hAnsi="Times" w:cs="Times"/>
          <w:sz w:val="24"/>
          <w:sz-cs w:val="24"/>
          <w:spacing w:val="-2"/>
        </w:rPr>
        <w:t xml:space="preserve"> 16:00hrs, </w:t>
      </w:r>
      <w:r>
        <w:rPr>
          <w:rFonts w:ascii="Times" w:hAnsi="Times" w:cs="Times"/>
          <w:sz w:val="24"/>
          <w:sz-cs w:val="24"/>
          <w:spacing w:val="-2"/>
          <w:color w:val="FF0000"/>
        </w:rPr>
        <w:t xml:space="preserve">GMT.</w:t>
      </w:r>
    </w:p>
    <w:p>
      <w:pPr/>
      <w:r>
        <w:rPr>
          <w:rFonts w:ascii="Times" w:hAnsi="Times" w:cs="Times"/>
          <w:sz w:val="24"/>
          <w:sz-cs w:val="24"/>
          <w:spacing w:val="-2"/>
          <w:color w:val="FF0000"/>
        </w:rPr>
        <w:t xml:space="preserve"/>
      </w:r>
    </w:p>
    <w:p>
      <w:pPr>
        <w:ind w:left="144"/>
      </w:pPr>
      <w:r>
        <w:rPr>
          <w:rFonts w:ascii="Times" w:hAnsi="Times" w:cs="Times"/>
          <w:sz w:val="24"/>
          <w:sz-cs w:val="24"/>
          <w:b/>
          <w:spacing w:val="-2"/>
        </w:rPr>
        <w:t xml:space="preserve">ROOTS Project Office </w:t>
      </w:r>
    </w:p>
    <w:p>
      <w:pPr>
        <w:ind w:left="144"/>
      </w:pPr>
      <w:r>
        <w:rPr>
          <w:rFonts w:ascii="Times" w:hAnsi="Times" w:cs="Times"/>
          <w:sz w:val="24"/>
          <w:sz-cs w:val="24"/>
          <w:b/>
          <w:spacing w:val="-2"/>
        </w:rPr>
        <w:t xml:space="preserve">Attn: procurement Officer </w:t>
      </w:r>
    </w:p>
    <w:p>
      <w:pPr>
        <w:ind w:left="144"/>
      </w:pPr>
      <w:r>
        <w:rPr>
          <w:rFonts w:ascii="Times" w:hAnsi="Times" w:cs="Times"/>
          <w:sz w:val="24"/>
          <w:sz-cs w:val="24"/>
          <w:b/>
          <w:spacing w:val="-2"/>
        </w:rPr>
        <w:t xml:space="preserve">DLS Veterinary Complex, Abuko, The Gambia </w:t>
      </w:r>
    </w:p>
    <w:p>
      <w:pPr>
        <w:ind w:left="144"/>
      </w:pPr>
      <w:r>
        <w:rPr>
          <w:rFonts w:ascii="Times" w:hAnsi="Times" w:cs="Times"/>
          <w:sz w:val="24"/>
          <w:sz-cs w:val="24"/>
          <w:b/>
          <w:spacing w:val="-2"/>
        </w:rPr>
        <w:t xml:space="preserve">Email: procurement@rootsproject.gm</w:t>
      </w:r>
    </w:p>
    <w:p>
      <w:pPr/>
      <w:r>
        <w:rPr>
          <w:rFonts w:ascii="Times" w:hAnsi="Times" w:cs="Times"/>
          <w:sz w:val="24"/>
          <w:sz-cs w:val="24"/>
          <w:b/>
          <w:spacing w:val="-2"/>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  Ceesay Jarjue</dc:creator>
</cp:coreProperties>
</file>

<file path=docProps/meta.xml><?xml version="1.0" encoding="utf-8"?>
<meta xmlns="http://schemas.apple.com/cocoa/2006/metadata">
  <generator>CocoaOOXMLWriter/2113.65</generator>
</meta>
</file>